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374 комбінованого типу «Ясочка»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Академіка Павлова,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311-Б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7-13-004304-a" w:history="1">
        <w:r w:rsidR="008875FA" w:rsidRPr="008875FA">
          <w:rPr>
            <w:rFonts w:ascii="Times New Roman" w:eastAsia="Times New Roman" w:hAnsi="Times New Roman"/>
            <w:sz w:val="28"/>
            <w:szCs w:val="28"/>
            <w:lang w:eastAsia="ru-RU"/>
          </w:rPr>
          <w:t>UA-2021-07-13-004304-a</w:t>
        </w:r>
      </w:hyperlink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8875FA">
        <w:rPr>
          <w:rFonts w:ascii="Times New Roman" w:hAnsi="Times New Roman"/>
          <w:sz w:val="28"/>
          <w:szCs w:val="28"/>
        </w:rPr>
        <w:t>10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8875FA">
        <w:rPr>
          <w:rFonts w:ascii="Times New Roman" w:hAnsi="Times New Roman"/>
          <w:sz w:val="28"/>
          <w:szCs w:val="28"/>
        </w:rPr>
        <w:t>374 комбінованого типу «Ясочка»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8875FA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8875FA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875FA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3D5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88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13-004304-a-kapitalnyj-remont-dytyachoho-ihrovoho-majdanchyka-hrupy-10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2021-07-13T12:55:00Z</dcterms:modified>
</cp:coreProperties>
</file>